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2" w:type="dxa"/>
        <w:tblInd w:w="-176" w:type="dxa"/>
        <w:tblLook w:val="04A0" w:firstRow="1" w:lastRow="0" w:firstColumn="1" w:lastColumn="0" w:noHBand="0" w:noVBand="1"/>
      </w:tblPr>
      <w:tblGrid>
        <w:gridCol w:w="4784"/>
        <w:gridCol w:w="5058"/>
      </w:tblGrid>
      <w:tr w:rsidR="003D2677" w:rsidTr="00E43146">
        <w:trPr>
          <w:trHeight w:val="258"/>
        </w:trPr>
        <w:tc>
          <w:tcPr>
            <w:tcW w:w="4784" w:type="dxa"/>
            <w:vMerge w:val="restart"/>
          </w:tcPr>
          <w:p w:rsidR="003D2677" w:rsidRPr="003D2677" w:rsidRDefault="003D2677" w:rsidP="003D2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3D2677" w:rsidRPr="003D2677" w:rsidRDefault="003D2677" w:rsidP="00A06CFA">
            <w:pPr>
              <w:rPr>
                <w:rFonts w:ascii="Times New Roman" w:hAnsi="Times New Roman" w:cs="Times New Roman"/>
              </w:rPr>
            </w:pPr>
            <w:r w:rsidRPr="003D2677">
              <w:rPr>
                <w:rFonts w:ascii="Times New Roman" w:hAnsi="Times New Roman" w:cs="Times New Roman"/>
              </w:rPr>
              <w:t>01.</w:t>
            </w:r>
            <w:r w:rsidR="00B349FF">
              <w:rPr>
                <w:rFonts w:ascii="Times New Roman" w:hAnsi="Times New Roman" w:cs="Times New Roman"/>
              </w:rPr>
              <w:t>0</w:t>
            </w:r>
            <w:r w:rsidR="00A06CFA">
              <w:rPr>
                <w:rFonts w:ascii="Times New Roman" w:hAnsi="Times New Roman" w:cs="Times New Roman"/>
              </w:rPr>
              <w:t>5</w:t>
            </w:r>
            <w:r w:rsidRPr="003D2677">
              <w:rPr>
                <w:rFonts w:ascii="Times New Roman" w:hAnsi="Times New Roman" w:cs="Times New Roman"/>
              </w:rPr>
              <w:t>.202</w:t>
            </w:r>
            <w:r w:rsidR="00A06CFA">
              <w:rPr>
                <w:rFonts w:ascii="Times New Roman" w:hAnsi="Times New Roman" w:cs="Times New Roman"/>
              </w:rPr>
              <w:t>5</w:t>
            </w:r>
            <w:r w:rsidRPr="003D26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2677" w:rsidTr="00E43146">
        <w:trPr>
          <w:trHeight w:val="155"/>
        </w:trPr>
        <w:tc>
          <w:tcPr>
            <w:tcW w:w="4784" w:type="dxa"/>
            <w:vMerge/>
          </w:tcPr>
          <w:p w:rsidR="003D2677" w:rsidRDefault="003D2677"/>
        </w:tc>
        <w:tc>
          <w:tcPr>
            <w:tcW w:w="5058" w:type="dxa"/>
          </w:tcPr>
          <w:p w:rsidR="003D2677" w:rsidRPr="003D2677" w:rsidRDefault="003D2677" w:rsidP="00533E3E">
            <w:pPr>
              <w:rPr>
                <w:rFonts w:ascii="Times New Roman" w:hAnsi="Times New Roman" w:cs="Times New Roman"/>
              </w:rPr>
            </w:pPr>
            <w:r w:rsidRPr="003D2677">
              <w:rPr>
                <w:rFonts w:ascii="Times New Roman" w:hAnsi="Times New Roman" w:cs="Times New Roman"/>
              </w:rPr>
              <w:t>Лист</w:t>
            </w:r>
            <w:r>
              <w:rPr>
                <w:rFonts w:ascii="Times New Roman" w:hAnsi="Times New Roman" w:cs="Times New Roman"/>
              </w:rPr>
              <w:t xml:space="preserve"> 1 из </w:t>
            </w:r>
            <w:r w:rsidR="00533E3E">
              <w:rPr>
                <w:rFonts w:ascii="Times New Roman" w:hAnsi="Times New Roman" w:cs="Times New Roman"/>
              </w:rPr>
              <w:t>4</w:t>
            </w:r>
          </w:p>
        </w:tc>
      </w:tr>
      <w:tr w:rsidR="003D2677" w:rsidTr="00E43146">
        <w:trPr>
          <w:trHeight w:val="155"/>
        </w:trPr>
        <w:tc>
          <w:tcPr>
            <w:tcW w:w="4784" w:type="dxa"/>
            <w:vMerge/>
          </w:tcPr>
          <w:p w:rsidR="003D2677" w:rsidRDefault="003D2677"/>
        </w:tc>
        <w:tc>
          <w:tcPr>
            <w:tcW w:w="5058" w:type="dxa"/>
          </w:tcPr>
          <w:p w:rsidR="003D2677" w:rsidRPr="003D2677" w:rsidRDefault="003D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1</w:t>
            </w:r>
          </w:p>
        </w:tc>
      </w:tr>
    </w:tbl>
    <w:tbl>
      <w:tblPr>
        <w:tblW w:w="9772" w:type="dxa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1814"/>
        <w:gridCol w:w="2846"/>
        <w:gridCol w:w="2257"/>
      </w:tblGrid>
      <w:tr w:rsidR="00121245" w:rsidTr="00E43146">
        <w:trPr>
          <w:trHeight w:val="889"/>
          <w:jc w:val="center"/>
        </w:trPr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Pr="00701ED3" w:rsidRDefault="00121245" w:rsidP="00C7711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121245" w:rsidRDefault="00121245" w:rsidP="00C7711D">
            <w:pPr>
              <w:widowControl w:val="0"/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93A5EF4" wp14:editId="4F599C8B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-655320</wp:posOffset>
                  </wp:positionV>
                  <wp:extent cx="597535" cy="588010"/>
                  <wp:effectExtent l="0" t="0" r="0" b="0"/>
                  <wp:wrapTight wrapText="bothSides">
                    <wp:wrapPolygon edited="0">
                      <wp:start x="5467" y="0"/>
                      <wp:lineTo x="-673" y="6952"/>
                      <wp:lineTo x="-10" y="15313"/>
                      <wp:lineTo x="5467" y="20887"/>
                      <wp:lineTo x="15752" y="20887"/>
                      <wp:lineTo x="21238" y="15313"/>
                      <wp:lineTo x="21924" y="13919"/>
                      <wp:lineTo x="19867" y="11132"/>
                      <wp:lineTo x="21924" y="6952"/>
                      <wp:lineTo x="16438" y="0"/>
                      <wp:lineTo x="5467" y="0"/>
                    </wp:wrapPolygon>
                  </wp:wrapTight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БУЗ УР «УРЦ СПИД и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45" w:rsidRDefault="00121245" w:rsidP="00C7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E43146" w:rsidP="00095A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</w:t>
            </w:r>
          </w:p>
          <w:p w:rsidR="00095A37" w:rsidRPr="00095A37" w:rsidRDefault="00E43146" w:rsidP="00D572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      </w:t>
            </w:r>
          </w:p>
        </w:tc>
      </w:tr>
      <w:tr w:rsidR="00121245" w:rsidTr="00E43146">
        <w:trPr>
          <w:jc w:val="center"/>
        </w:trPr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C7711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45" w:rsidRDefault="00121245" w:rsidP="00C7711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Лист  1 </w:t>
            </w:r>
          </w:p>
          <w:p w:rsidR="00121245" w:rsidRDefault="00121245" w:rsidP="00F64F7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Всего </w:t>
            </w:r>
            <w:r w:rsidR="00071038">
              <w:rPr>
                <w:rFonts w:ascii="Times New Roman" w:hAnsi="Times New Roman"/>
              </w:rPr>
              <w:t>4</w:t>
            </w:r>
          </w:p>
        </w:tc>
      </w:tr>
      <w:tr w:rsidR="00121245" w:rsidRPr="00CA34D8" w:rsidTr="00E43146">
        <w:trPr>
          <w:trHeight w:val="783"/>
          <w:jc w:val="center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45" w:rsidRPr="007A21D5" w:rsidRDefault="00683A23" w:rsidP="003C13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Первичный прием пациента </w:t>
            </w:r>
            <w:r w:rsidR="003C13C3" w:rsidRPr="003C1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положительным иммуноблотом ВИЧ или ПЦР ДНК ВИЧ</w:t>
            </w:r>
          </w:p>
        </w:tc>
      </w:tr>
      <w:tr w:rsidR="00121245" w:rsidTr="00E43146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683A2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Действует с 01.</w:t>
            </w:r>
            <w:r w:rsidR="00B349FF">
              <w:rPr>
                <w:rFonts w:ascii="Times New Roman" w:hAnsi="Times New Roman"/>
              </w:rPr>
              <w:t>0</w:t>
            </w:r>
            <w:r w:rsidR="00683A2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 w:rsidR="00683A2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Разработана впервые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пересмотра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следующего пересмотра</w:t>
            </w:r>
          </w:p>
        </w:tc>
      </w:tr>
      <w:tr w:rsidR="00121245" w:rsidTr="00E43146">
        <w:trPr>
          <w:trHeight w:val="1134"/>
          <w:jc w:val="center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Составили:</w:t>
            </w:r>
          </w:p>
          <w:p w:rsidR="00121245" w:rsidRP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="00683A23">
              <w:rPr>
                <w:rFonts w:ascii="Times New Roman" w:hAnsi="Times New Roman"/>
              </w:rPr>
              <w:t>поликлиническим отделением</w:t>
            </w:r>
          </w:p>
          <w:p w:rsidR="00121245" w:rsidRPr="00216F41" w:rsidRDefault="00683A23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А.А.</w:t>
            </w:r>
            <w:r w:rsidR="00121245">
              <w:rPr>
                <w:rFonts w:ascii="Times New Roman" w:hAnsi="Times New Roman"/>
              </w:rPr>
              <w:t xml:space="preserve">  ___________________________</w:t>
            </w: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Утвердил </w:t>
            </w: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______________</w:t>
            </w:r>
            <w:r w:rsidR="00683A23">
              <w:rPr>
                <w:rFonts w:ascii="Times New Roman" w:hAnsi="Times New Roman"/>
              </w:rPr>
              <w:t>/                       /</w:t>
            </w: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121245" w:rsidRDefault="00121245" w:rsidP="00683A2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«____» _____________ 202</w:t>
            </w:r>
            <w:r w:rsidR="00683A2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121245" w:rsidTr="00E43146">
        <w:trPr>
          <w:trHeight w:val="1134"/>
          <w:jc w:val="center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Pr="002E0173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  <w:r w:rsidRPr="002E0173">
              <w:rPr>
                <w:rFonts w:ascii="Times New Roman" w:hAnsi="Times New Roman"/>
              </w:rPr>
              <w:t>:</w:t>
            </w:r>
          </w:p>
          <w:p w:rsidR="00121245" w:rsidRPr="002E0173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главного врача по медицинской части</w:t>
            </w:r>
          </w:p>
          <w:p w:rsidR="00121245" w:rsidRDefault="00683A23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А.А.</w:t>
            </w:r>
            <w:r w:rsidR="00121245"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45" w:rsidTr="00E43146">
        <w:trPr>
          <w:trHeight w:val="544"/>
          <w:jc w:val="center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хранения документа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Оригинал: кабинет заведующе</w:t>
            </w:r>
            <w:r w:rsidR="006B48F7">
              <w:rPr>
                <w:rFonts w:ascii="Times New Roman" w:hAnsi="Times New Roman"/>
              </w:rPr>
              <w:t xml:space="preserve">го </w:t>
            </w:r>
            <w:r w:rsidR="00683A23">
              <w:rPr>
                <w:rFonts w:ascii="Times New Roman" w:hAnsi="Times New Roman"/>
              </w:rPr>
              <w:t>поликлиническим</w:t>
            </w:r>
            <w:r w:rsidR="006B48F7">
              <w:rPr>
                <w:rFonts w:ascii="Times New Roman" w:hAnsi="Times New Roman"/>
              </w:rPr>
              <w:t xml:space="preserve">  отделением</w:t>
            </w:r>
          </w:p>
          <w:p w:rsidR="008E536F" w:rsidRDefault="00121245" w:rsidP="00B349F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</w:t>
            </w:r>
            <w:r w:rsidR="00B349F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: </w:t>
            </w:r>
            <w:r w:rsidR="00AF1173">
              <w:rPr>
                <w:rFonts w:ascii="Times New Roman" w:hAnsi="Times New Roman"/>
              </w:rPr>
              <w:t>кабинет инфекционных заболеваний</w:t>
            </w:r>
          </w:p>
          <w:p w:rsidR="00121245" w:rsidRDefault="008E536F" w:rsidP="008E53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версия у заместителя главного врача по медицинской части.</w:t>
            </w:r>
          </w:p>
        </w:tc>
      </w:tr>
      <w:tr w:rsidR="00121245" w:rsidTr="00E43146">
        <w:trPr>
          <w:trHeight w:val="552"/>
          <w:jc w:val="center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45" w:rsidRDefault="008E536F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оригиналов: 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копий:</w:t>
            </w:r>
            <w:r w:rsidR="008E536F">
              <w:rPr>
                <w:rFonts w:ascii="Times New Roman" w:hAnsi="Times New Roman"/>
              </w:rPr>
              <w:t xml:space="preserve"> </w:t>
            </w:r>
            <w:r w:rsidR="00AF1173">
              <w:rPr>
                <w:rFonts w:ascii="Times New Roman" w:hAnsi="Times New Roman"/>
              </w:rPr>
              <w:t>1</w:t>
            </w:r>
          </w:p>
          <w:p w:rsidR="00121245" w:rsidRDefault="00121245" w:rsidP="00C771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штатному расписанию</w:t>
            </w:r>
          </w:p>
        </w:tc>
      </w:tr>
    </w:tbl>
    <w:p w:rsidR="00421185" w:rsidRDefault="00421185" w:rsidP="00421185">
      <w:pPr>
        <w:spacing w:after="0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095A37" w:rsidRDefault="006B48F7" w:rsidP="0016297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48F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1. Цель</w:t>
      </w:r>
      <w:r w:rsidR="0042118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: </w:t>
      </w:r>
      <w:r w:rsidR="00E11179" w:rsidRP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стандартизация процесса </w:t>
      </w:r>
      <w:r w:rsid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проведения </w:t>
      </w:r>
      <w:r w:rsidR="00E11179" w:rsidRP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клинического</w:t>
      </w:r>
      <w:r w:rsidR="00E1117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E11179" w:rsidRP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обследования </w:t>
      </w:r>
      <w:r w:rsidR="001C03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="00E11179" w:rsidRP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установлени</w:t>
      </w:r>
      <w:r w:rsidR="001C03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E11179" w:rsidRP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клинического диагноза</w:t>
      </w:r>
      <w:r w:rsidR="00E111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подготовки к назначению антиретровирусной терапии.</w:t>
      </w:r>
      <w:r w:rsidR="008E536F" w:rsidRPr="008E5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162975" w:rsidRPr="006B48F7" w:rsidRDefault="00162975" w:rsidP="00162975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926C06" w:rsidRDefault="006B48F7" w:rsidP="00926C0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</w:t>
      </w:r>
      <w:r w:rsidR="00926C06" w:rsidRPr="006B48F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  <w:r w:rsidR="00926C0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="00926C06" w:rsidRPr="00926C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Область применения</w:t>
      </w:r>
    </w:p>
    <w:p w:rsidR="00926C06" w:rsidRDefault="006B48F7" w:rsidP="00926C0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926C06" w:rsidRPr="00926C06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926C0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Настоящая стандартная операционная процедура (СОП) </w:t>
      </w:r>
      <w:r w:rsidR="00E111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определяет </w:t>
      </w:r>
      <w:r w:rsidR="00D572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порядок действий врача-инфекциониста при первичном приеме пациента с положительным иммуноблотом ВИЧ или ПЦР ДНК ВИЧ, </w:t>
      </w:r>
      <w:r w:rsidR="00E111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объем клинических обследований для установления диагноза и подготовки к </w:t>
      </w:r>
      <w:r w:rsidR="00D572FC">
        <w:rPr>
          <w:rFonts w:ascii="Times New Roman" w:eastAsia="Times New Roman" w:hAnsi="Times New Roman" w:cs="Arial"/>
          <w:sz w:val="24"/>
          <w:szCs w:val="24"/>
          <w:lang w:eastAsia="ru-RU"/>
        </w:rPr>
        <w:t>лечению</w:t>
      </w:r>
      <w:r w:rsidR="00926C06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040E9" w:rsidRDefault="006B48F7" w:rsidP="00926C0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179FE">
        <w:rPr>
          <w:rFonts w:ascii="Times New Roman" w:eastAsia="Times New Roman" w:hAnsi="Times New Roman" w:cs="Arial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26C0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Настоящая стандартная операционная процедура (СОП) предназначена для </w:t>
      </w:r>
      <w:r w:rsidR="00E11179">
        <w:rPr>
          <w:rFonts w:ascii="Times New Roman" w:eastAsia="Times New Roman" w:hAnsi="Times New Roman" w:cs="Arial"/>
          <w:sz w:val="24"/>
          <w:szCs w:val="24"/>
          <w:lang w:eastAsia="ru-RU"/>
        </w:rPr>
        <w:t>врачей инфекционистов кабинета инфекционных заболеваний</w:t>
      </w:r>
      <w:r w:rsidR="009040E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26C06" w:rsidRPr="00926C06" w:rsidRDefault="009040E9" w:rsidP="00926C0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исполнения: заведующий поликлиническим отделением.</w:t>
      </w:r>
    </w:p>
    <w:p w:rsidR="009404CA" w:rsidRDefault="009404CA" w:rsidP="002B5946">
      <w:pPr>
        <w:tabs>
          <w:tab w:val="left" w:pos="4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946" w:rsidRDefault="006B48F7" w:rsidP="002B5946">
      <w:pPr>
        <w:tabs>
          <w:tab w:val="left" w:pos="4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5946" w:rsidRPr="002B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Нормативные ссылки</w:t>
      </w:r>
    </w:p>
    <w:p w:rsidR="009040E9" w:rsidRPr="009040E9" w:rsidRDefault="009040E9" w:rsidP="001629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>3.1. Приказ Минздрава России от  23 июня 2022 года N 438н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«Об утверждении стандарта первичной медико-санитарной помощи взрослым при ВИЧ-инфекции (диагностика, лечение и диспансерное наблюдение)».</w:t>
      </w:r>
    </w:p>
    <w:p w:rsidR="009040E9" w:rsidRPr="009040E9" w:rsidRDefault="009040E9" w:rsidP="001629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.2</w:t>
      </w: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>. Клинические рекомендации 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инздрава России</w:t>
      </w: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 ВИЧ-инфекция у взрослых» 202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9040E9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</w:p>
    <w:p w:rsidR="001C03A6" w:rsidRDefault="001C03A6" w:rsidP="001C03A6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C03A6" w:rsidRDefault="001C03A6" w:rsidP="001C03A6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940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Обозначения и сокращения:</w:t>
      </w:r>
    </w:p>
    <w:p w:rsidR="001C03A6" w:rsidRPr="00E1012F" w:rsidRDefault="001C03A6" w:rsidP="001C03A6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8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</w:t>
      </w:r>
      <w:r w:rsidRPr="00E101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5B40" w:rsidRPr="00795B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СПИД</w:t>
      </w:r>
      <w:r w:rsidR="00795B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E101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БУЗ УР «УРЦ СПИД и </w:t>
      </w:r>
      <w:proofErr w:type="gramStart"/>
      <w:r w:rsidRPr="00E101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proofErr w:type="gramEnd"/>
      <w:r w:rsidRPr="00E101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</w:t>
      </w:r>
    </w:p>
    <w:p w:rsidR="00162975" w:rsidRDefault="001C03A6" w:rsidP="00936A3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="00501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инфекционных заболеваний</w:t>
      </w:r>
      <w:r w:rsidR="00162975" w:rsidRPr="0016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61C5" w:rsidRPr="00501A99" w:rsidRDefault="00162975" w:rsidP="00936A3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B86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</w:t>
      </w:r>
      <w:proofErr w:type="gramEnd"/>
      <w:r w:rsidRPr="00B86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федеральный регистр</w:t>
      </w:r>
      <w:r w:rsidRPr="008F62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64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лиц, инфицированных вирусом иммунодефицита</w:t>
      </w:r>
    </w:p>
    <w:tbl>
      <w:tblPr>
        <w:tblW w:w="991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3116"/>
        <w:gridCol w:w="4306"/>
        <w:gridCol w:w="2497"/>
      </w:tblGrid>
      <w:tr w:rsidR="00C7711D" w:rsidRPr="00C7711D" w:rsidTr="00775A4B"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0B5CE0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БУЗ УР «УРЦ СПИД и </w:t>
            </w:r>
            <w:proofErr w:type="gramStart"/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</w:t>
            </w:r>
            <w:proofErr w:type="gramEnd"/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0B5CE0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СТАНДАРТНАЯ ОПЕРАЦИОННАЯ ПРОЦЕДУРА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0B5CE0" w:rsidRDefault="00C7711D" w:rsidP="00F64F7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Номер </w:t>
            </w:r>
          </w:p>
        </w:tc>
      </w:tr>
      <w:tr w:rsidR="00C7711D" w:rsidRPr="00C7711D" w:rsidTr="00775A4B"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0B5CE0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0B5CE0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0B5CE0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C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 2</w:t>
            </w:r>
          </w:p>
          <w:p w:rsidR="00C7711D" w:rsidRPr="000B5CE0" w:rsidRDefault="00533E3E" w:rsidP="00F64F7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  <w:r w:rsidR="000710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7711D" w:rsidRPr="00C7711D" w:rsidTr="00775A4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172F7E" w:rsidRDefault="00F64F7E" w:rsidP="0017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64F7E">
              <w:rPr>
                <w:rFonts w:ascii="Times New Roman" w:eastAsiaTheme="majorEastAsia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Первичный прием пациента с положительным иммуноблотом ВИЧ или ПЦР ДНК ВИЧ</w:t>
            </w:r>
          </w:p>
        </w:tc>
      </w:tr>
    </w:tbl>
    <w:p w:rsidR="001C03A6" w:rsidRDefault="001C03A6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F7E" w:rsidRPr="00F64F7E" w:rsidRDefault="00F64F7E" w:rsidP="00F64F7E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человека</w:t>
      </w:r>
    </w:p>
    <w:p w:rsidR="00F64F7E" w:rsidRDefault="00F64F7E" w:rsidP="00F64F7E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01A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РТ МИС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</w:t>
      </w:r>
      <w:r w:rsidRPr="00F64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региональный сегмент медицинской информационной системы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F64F7E" w:rsidRDefault="00F64F7E" w:rsidP="00F64F7E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ТМК </w:t>
      </w:r>
      <w:r w:rsidRPr="00B8666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телемедицинская консультация</w:t>
      </w:r>
    </w:p>
    <w:p w:rsidR="00F64F7E" w:rsidRDefault="00F64F7E" w:rsidP="00F64F7E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МКБ-10 </w:t>
      </w:r>
      <w:r w:rsidRPr="00501A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международная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классификация болезней и проблем, связанных со здоровьем, 10 пересмотра.</w:t>
      </w:r>
      <w:r w:rsidRPr="00501A99">
        <w:t xml:space="preserve"> </w:t>
      </w:r>
    </w:p>
    <w:p w:rsidR="00F64F7E" w:rsidRPr="00501A99" w:rsidRDefault="00F64F7E" w:rsidP="00F64F7E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1A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ИМТ </w:t>
      </w:r>
      <w:r w:rsidRPr="00501A9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индекс массы тела</w:t>
      </w:r>
    </w:p>
    <w:p w:rsidR="00EA5F3F" w:rsidRDefault="00EA5F3F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Персонал</w:t>
      </w:r>
    </w:p>
    <w:p w:rsidR="00EA5F3F" w:rsidRDefault="00EA5F3F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Врач-инфекционист</w:t>
      </w:r>
    </w:p>
    <w:p w:rsidR="00EA5F3F" w:rsidRDefault="00EA5F3F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Медицинская сестра врача-инфекциониста</w:t>
      </w:r>
    </w:p>
    <w:p w:rsidR="00EA5F3F" w:rsidRPr="00EA5F3F" w:rsidRDefault="00EA5F3F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Оборудование и материалы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.1. Стол, стулья, шкаф, канцелярские товары.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.2. Компьютер с доступом к сети интернет в </w:t>
      </w:r>
      <w:r w:rsidR="0049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информационные системы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«РТ</w:t>
      </w:r>
      <w:r w:rsidR="00F64F7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МИС»,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proofErr w:type="gramStart"/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ФР</w:t>
      </w:r>
      <w:proofErr w:type="gramEnd"/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ВИЧ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.3. Средство связи – телефон.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.4. </w:t>
      </w:r>
      <w:r w:rsidR="004966FD">
        <w:rPr>
          <w:rFonts w:ascii="Times New Roman" w:eastAsia="Calibri" w:hAnsi="Times New Roman" w:cs="Times New Roman"/>
          <w:sz w:val="24"/>
          <w:szCs w:val="24"/>
          <w:lang w:eastAsia="zh-CN"/>
        </w:rPr>
        <w:t>МФ</w:t>
      </w:r>
      <w:proofErr w:type="gramStart"/>
      <w:r w:rsidR="004966FD">
        <w:rPr>
          <w:rFonts w:ascii="Times New Roman" w:eastAsia="Calibri" w:hAnsi="Times New Roman" w:cs="Times New Roman"/>
          <w:sz w:val="24"/>
          <w:szCs w:val="24"/>
          <w:lang w:eastAsia="zh-CN"/>
        </w:rPr>
        <w:t>У-</w:t>
      </w:r>
      <w:proofErr w:type="gramEnd"/>
      <w:r w:rsidR="0049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многофункциональное устройство (принтер, сканер, копир)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.5. Тонометр, медицинский термометр, фонендоскоп, </w:t>
      </w:r>
      <w:proofErr w:type="spellStart"/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пульсоксиметр</w:t>
      </w:r>
      <w:proofErr w:type="spellEnd"/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.6. Весы, ростомер.</w:t>
      </w:r>
    </w:p>
    <w:p w:rsidR="00EA5F3F" w:rsidRPr="00EA5F3F" w:rsidRDefault="00EA5F3F" w:rsidP="00EA5F3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EA5F3F">
        <w:rPr>
          <w:rFonts w:ascii="Times New Roman" w:eastAsia="Calibri" w:hAnsi="Times New Roman" w:cs="Times New Roman"/>
          <w:sz w:val="24"/>
          <w:szCs w:val="24"/>
          <w:lang w:eastAsia="zh-CN"/>
        </w:rPr>
        <w:t>.7. Кушетка.</w:t>
      </w:r>
    </w:p>
    <w:p w:rsidR="00122813" w:rsidRDefault="00EA5F3F" w:rsidP="00122813">
      <w:pPr>
        <w:widowControl w:val="0"/>
        <w:tabs>
          <w:tab w:val="left" w:pos="1200"/>
          <w:tab w:val="num" w:pos="1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1228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122813" w:rsidRPr="00940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22813" w:rsidRPr="000B5CE0" w:rsidRDefault="00EA5F3F" w:rsidP="0012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ВИЧ-инфекции с кодированием по МКБ-10 </w:t>
      </w:r>
      <w:r w:rsidR="009C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врач-инфекционист</w:t>
      </w:r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СПИД на основе полного комплекса диагностики (эпидемиологических, клинических данных и лабораторных исследований).</w:t>
      </w:r>
    </w:p>
    <w:p w:rsidR="008E6582" w:rsidRDefault="00EA5F3F" w:rsidP="0012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пациенты </w:t>
      </w:r>
      <w:proofErr w:type="gramStart"/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диагностированной</w:t>
      </w:r>
      <w:proofErr w:type="gramEnd"/>
      <w:r w:rsidR="00A7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ВИЧ-инфекцией подлежат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на диспансерный учет в КИЗ, ведение пациента врачом-инфекционистом осуществляется при взаимодействии со специалистами Центра СПИД.</w:t>
      </w:r>
    </w:p>
    <w:p w:rsidR="00B1249F" w:rsidRDefault="009C099B" w:rsidP="009C099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6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рием</w:t>
      </w:r>
      <w:r w:rsidR="0006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3DF7" w:rsidRPr="00897090" w:rsidRDefault="00B1249F" w:rsidP="00B124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 </w:t>
      </w:r>
      <w:r w:rsidR="00063DF7" w:rsidRPr="0089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сборе</w:t>
      </w:r>
      <w:r w:rsidRPr="0089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090">
        <w:rPr>
          <w:rFonts w:ascii="Times New Roman" w:hAnsi="Times New Roman" w:cs="Times New Roman"/>
          <w:b/>
          <w:sz w:val="24"/>
          <w:szCs w:val="24"/>
          <w:lang w:eastAsia="ru-RU"/>
        </w:rPr>
        <w:t>жалоб и  анамнеза</w:t>
      </w:r>
      <w:r w:rsidR="00063DF7" w:rsidRPr="0089709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1249F" w:rsidRPr="00063DF7" w:rsidRDefault="00063DF7" w:rsidP="00B124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 xml:space="preserve">8.1.1. </w:t>
      </w:r>
      <w:r w:rsidR="009C099B" w:rsidRPr="00063DF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обязательно уточнение информации о:</w:t>
      </w:r>
    </w:p>
    <w:p w:rsidR="00B1249F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proofErr w:type="gram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формах</w:t>
      </w:r>
      <w:proofErr w:type="gramEnd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поведения, сопряжённых с риском заражения ВИЧ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1249F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времени и пути заражения ВИЧ (вероятном или известном)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1249F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proofErr w:type="gram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тестировании</w:t>
      </w:r>
      <w:proofErr w:type="gramEnd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ВИЧ (дата первого положительного теста на ВИЧ, причина проведения тестирования, последний отрицательный тест на ВИЧ)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1249F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наличии заболеваний, имеющих одинаковый с ВИЧ-инфекцией механизм передачи (вирусные гепатиты</w:t>
      </w:r>
      <w:proofErr w:type="gram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С, заболевания, передающиеся половым путём) или способствующих заражению ВИЧ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1249F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сексуальном и репродуктивном здоровье (методы контрацепции в настоящее время, данные о беременностях)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proofErr w:type="gramEnd"/>
    </w:p>
    <w:p w:rsidR="009C099B" w:rsidRDefault="009C099B" w:rsidP="00B1249F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proofErr w:type="gram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курении</w:t>
      </w:r>
      <w:proofErr w:type="gramEnd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употреблении алкоголя и других </w:t>
      </w:r>
      <w:proofErr w:type="spellStart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B124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</w:t>
      </w:r>
      <w:r w:rsidRPr="00B124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63DF7" w:rsidRDefault="00063DF7" w:rsidP="00063D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8.1.2.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63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обратить внимание на наличие заболеваний, которые могут быть следствием ВИЧ-инфекции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3DF7" w:rsidRDefault="009C099B" w:rsidP="00063DF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вирусные, грибковые, бактериальные поражения кожи и слизистых оболочек;</w:t>
      </w:r>
    </w:p>
    <w:p w:rsidR="00063DF7" w:rsidRDefault="009C099B" w:rsidP="00063DF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повторные пневмонии;</w:t>
      </w:r>
    </w:p>
    <w:p w:rsidR="00063DF7" w:rsidRDefault="009C099B" w:rsidP="00063DF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туберкулёз;</w:t>
      </w:r>
    </w:p>
    <w:p w:rsidR="00063DF7" w:rsidRDefault="009C099B" w:rsidP="00063DF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увеличение лимфатических узлов;</w:t>
      </w:r>
    </w:p>
    <w:p w:rsidR="00063DF7" w:rsidRDefault="009C099B" w:rsidP="00063D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63DF7">
        <w:rPr>
          <w:rFonts w:ascii="Times New Roman" w:hAnsi="Times New Roman" w:cs="Times New Roman"/>
          <w:sz w:val="24"/>
          <w:szCs w:val="24"/>
          <w:lang w:eastAsia="ru-RU"/>
        </w:rPr>
        <w:t>мононуклеозоподобный</w:t>
      </w:r>
      <w:proofErr w:type="spellEnd"/>
      <w:r w:rsidRPr="00063DF7">
        <w:rPr>
          <w:rFonts w:ascii="Times New Roman" w:hAnsi="Times New Roman" w:cs="Times New Roman"/>
          <w:sz w:val="24"/>
          <w:szCs w:val="24"/>
          <w:lang w:eastAsia="ru-RU"/>
        </w:rPr>
        <w:t xml:space="preserve"> синдром»;</w:t>
      </w:r>
    </w:p>
    <w:p w:rsidR="00162975" w:rsidRPr="004966FD" w:rsidRDefault="009C099B" w:rsidP="001629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 </w:t>
      </w:r>
      <w:r w:rsidRPr="00063DF7">
        <w:rPr>
          <w:rFonts w:ascii="Times New Roman" w:hAnsi="Times New Roman" w:cs="Times New Roman"/>
          <w:sz w:val="24"/>
          <w:szCs w:val="24"/>
          <w:lang w:eastAsia="ru-RU"/>
        </w:rPr>
        <w:t>изменения массы тела, телосложения.</w:t>
      </w:r>
      <w:r w:rsidR="00162975" w:rsidRPr="001629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1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3116"/>
        <w:gridCol w:w="4306"/>
        <w:gridCol w:w="2497"/>
      </w:tblGrid>
      <w:tr w:rsidR="00C7711D" w:rsidRPr="00C7711D" w:rsidTr="00775A4B"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БУЗ УР «УРЦ СПИД и </w:t>
            </w:r>
            <w:proofErr w:type="gramStart"/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</w:t>
            </w:r>
            <w:proofErr w:type="gramEnd"/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СТАНДАРТНАЯ ОПЕРАЦИОННАЯ ПРОЦЕДУРА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C7711D" w:rsidRDefault="00C7711D" w:rsidP="0016297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Номер </w:t>
            </w:r>
            <w:r w:rsidR="00775A4B">
              <w:rPr>
                <w:sz w:val="24"/>
                <w:szCs w:val="24"/>
              </w:rPr>
              <w:t xml:space="preserve">             </w:t>
            </w:r>
          </w:p>
        </w:tc>
      </w:tr>
      <w:tr w:rsidR="00C7711D" w:rsidRPr="00C7711D" w:rsidTr="00775A4B"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 3</w:t>
            </w:r>
          </w:p>
          <w:p w:rsidR="00C7711D" w:rsidRPr="00C7711D" w:rsidRDefault="00071038" w:rsidP="00533E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4</w:t>
            </w:r>
          </w:p>
        </w:tc>
      </w:tr>
      <w:tr w:rsidR="00C7711D" w:rsidRPr="00C7711D" w:rsidTr="00775A4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C7711D" w:rsidRDefault="00F64F7E" w:rsidP="0017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64F7E">
              <w:rPr>
                <w:rFonts w:ascii="Times New Roman" w:eastAsiaTheme="majorEastAsia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Первичный прием пациента с положительным иммуноблотом ВИЧ или ПЦР ДНК ВИЧ</w:t>
            </w:r>
          </w:p>
        </w:tc>
      </w:tr>
    </w:tbl>
    <w:p w:rsidR="004966FD" w:rsidRDefault="004966FD" w:rsidP="0057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D0D" w:rsidRDefault="004966FD" w:rsidP="0057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8.1.3. </w:t>
      </w:r>
      <w:r w:rsidRPr="00063DF7">
        <w:rPr>
          <w:rFonts w:ascii="Times New Roman" w:hAnsi="Times New Roman" w:cs="Times New Roman"/>
          <w:b/>
          <w:sz w:val="24"/>
          <w:szCs w:val="24"/>
          <w:lang w:eastAsia="ru-RU"/>
        </w:rPr>
        <w:t>выявление возможных симптомов туберкулеза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62975" w:rsidRPr="00063DF7" w:rsidRDefault="00162975" w:rsidP="001629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– лихорадка;</w:t>
      </w:r>
    </w:p>
    <w:p w:rsidR="00F64F7E" w:rsidRPr="00063DF7" w:rsidRDefault="00F64F7E" w:rsidP="00F64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– кашель;</w:t>
      </w:r>
    </w:p>
    <w:p w:rsidR="00F64F7E" w:rsidRPr="00063DF7" w:rsidRDefault="00F64F7E" w:rsidP="00F64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– снижение массы тела;</w:t>
      </w:r>
    </w:p>
    <w:p w:rsidR="00897090" w:rsidRPr="00EA5F3F" w:rsidRDefault="00897090" w:rsidP="008970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DF7">
        <w:rPr>
          <w:rFonts w:ascii="Times New Roman" w:hAnsi="Times New Roman" w:cs="Times New Roman"/>
          <w:sz w:val="24"/>
          <w:szCs w:val="24"/>
          <w:lang w:eastAsia="ru-RU"/>
        </w:rPr>
        <w:t>– ночная потливость.</w:t>
      </w:r>
    </w:p>
    <w:p w:rsidR="00511E3F" w:rsidRPr="00B01092" w:rsidRDefault="006F2B8C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6A33"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36A33"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</w:t>
      </w:r>
      <w:proofErr w:type="spellStart"/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физикального</w:t>
      </w:r>
      <w:proofErr w:type="spellEnd"/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обследования:</w:t>
      </w:r>
    </w:p>
    <w:p w:rsidR="006F2B8C" w:rsidRDefault="006F2B8C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оценить общее состояние, обращая внимание на изменение массы тела, телосложения (наличие признаков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липодистрофии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D1BA3" w:rsidRDefault="000D1BA3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</w:t>
      </w:r>
      <w:r w:rsidR="005A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проведение термометрии</w:t>
      </w:r>
      <w:r w:rsidRPr="000D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</w:t>
      </w:r>
      <w:r w:rsidR="005A10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D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веса и роста, </w:t>
      </w:r>
      <w:r w:rsidR="005A1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ИМТ.</w:t>
      </w:r>
    </w:p>
    <w:p w:rsidR="006F2B8C" w:rsidRDefault="006F2B8C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5A10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полный осмотр кожи и слизистых оболочек,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паховые области. Обратить внимание на наличие желтушности кожи и слизистых, элементов сыпи опоясывающего герпеса (свежие или ранее перенесенные), себорейного дерматита,</w:t>
      </w:r>
      <w:r w:rsidR="0089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грибковых поражений, элементов саркомы Капоши, папиллом, кондилом, следы инъекций у потребителей инъекционных наркотиков;</w:t>
      </w:r>
    </w:p>
    <w:p w:rsidR="006F2B8C" w:rsidRDefault="006F2B8C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5A10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6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неврологический и психический статус, обращая внимание на симптомы невропатии, ухудшения зрения, ясность сознания, адекватность ответов</w:t>
      </w:r>
      <w:r w:rsidR="0089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наличие бредовых идей, заторможенность или ускорение психических процессов, наличие суицидальных мыслей, нарушений настроения (жалобы на подавленность, апатию, безразличие, усталость, раздражительность), нарушение памяти и внимания, двигательную неловкость.</w:t>
      </w:r>
      <w:proofErr w:type="gramEnd"/>
    </w:p>
    <w:p w:rsidR="00897090" w:rsidRDefault="008970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8.3. Проведение лабораторных </w:t>
      </w:r>
      <w:r w:rsid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диагностических </w:t>
      </w:r>
      <w:r w:rsidRPr="00B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исследований</w:t>
      </w:r>
    </w:p>
    <w:p w:rsidR="00B01092" w:rsidRDefault="00B01092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исследования, биоматериал для которых направляется в лабораторию </w:t>
      </w:r>
      <w:r w:rsidR="00363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СПИД: </w:t>
      </w:r>
    </w:p>
    <w:p w:rsidR="00B01092" w:rsidRDefault="00B01092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</w:t>
      </w:r>
      <w:r w:rsidR="004966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ледование СД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лимфоцитов, </w:t>
      </w:r>
    </w:p>
    <w:p w:rsidR="00B01092" w:rsidRDefault="00B01092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исследование СД8+ лимфоцитов, </w:t>
      </w:r>
    </w:p>
    <w:p w:rsidR="00B01092" w:rsidRDefault="00B01092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количественное определение РНК ВИЧ в плазме крови методом ПЦР</w:t>
      </w:r>
      <w:r w:rsid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антител классов М,</w:t>
      </w:r>
      <w:r w:rsidRP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антител к бледной трепонеме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Treponema</w:t>
      </w:r>
      <w:proofErr w:type="spellEnd"/>
      <w:r w:rsidRP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pallidum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крови,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антител класса М,</w:t>
      </w:r>
      <w:r w:rsidRP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токсоплазме,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антител к вирусу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антигена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HbSAg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вируса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аллели 5701 локуса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комплекса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гистосовместимости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HLA</w:t>
      </w:r>
      <w:r w:rsidRP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40190">
        <w:rPr>
          <w:rFonts w:ascii="Times New Roman" w:eastAsia="Times New Roman" w:hAnsi="Times New Roman" w:cs="Times New Roman"/>
          <w:sz w:val="24"/>
          <w:szCs w:val="24"/>
          <w:lang w:eastAsia="ru-RU"/>
        </w:rPr>
        <w:t>*5701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0190" w:rsidRDefault="00E40190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исследования, выполняемые в </w:t>
      </w:r>
      <w:r w:rsidR="00E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 медицинской организации:</w:t>
      </w:r>
    </w:p>
    <w:p w:rsidR="00EC1C14" w:rsidRDefault="00EC1C14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2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(клинический) анализ крови развернутый,</w:t>
      </w:r>
    </w:p>
    <w:p w:rsid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биохимический общетерапевтический,</w:t>
      </w:r>
    </w:p>
    <w:p w:rsid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по оценке нарушений липидного обмена биохимический,</w:t>
      </w:r>
    </w:p>
    <w:p w:rsid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(клинический) анализ мочи</w:t>
      </w:r>
    </w:p>
    <w:p w:rsidR="00363BE8" w:rsidRDefault="00363BE8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диагностические исследования по показаниям;</w:t>
      </w:r>
    </w:p>
    <w:p w:rsidR="002B28E7" w:rsidRP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8.4. </w:t>
      </w:r>
      <w:r w:rsidR="005A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B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инструментальных исследований:</w:t>
      </w:r>
    </w:p>
    <w:p w:rsid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электрокардиограммы,</w:t>
      </w:r>
    </w:p>
    <w:p w:rsidR="002B28E7" w:rsidRDefault="002B28E7" w:rsidP="0093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легких,</w:t>
      </w:r>
    </w:p>
    <w:p w:rsidR="00071038" w:rsidRDefault="002B28E7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ультразвуковое исследование органов брюшной полости (комплексное),</w:t>
      </w:r>
      <w:r w:rsidR="00162975" w:rsidRPr="001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ультразвуковое исследование почек и надпочечников,</w:t>
      </w:r>
    </w:p>
    <w:p w:rsidR="0073129F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инструментальные исследования по показаниям.</w:t>
      </w:r>
    </w:p>
    <w:p w:rsidR="00071038" w:rsidRPr="0073129F" w:rsidRDefault="00071038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3116"/>
        <w:gridCol w:w="4306"/>
        <w:gridCol w:w="2497"/>
      </w:tblGrid>
      <w:tr w:rsidR="00C7711D" w:rsidRPr="00C7711D" w:rsidTr="00775A4B"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БУЗ УР «УРЦ СПИД и </w:t>
            </w:r>
            <w:proofErr w:type="gramStart"/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</w:t>
            </w:r>
            <w:proofErr w:type="gramEnd"/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СТАНДАРТНАЯ ОПЕРАЦИОННАЯ ПРОЦЕДУРА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C7711D" w:rsidRDefault="00C7711D" w:rsidP="0016297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Номер </w:t>
            </w:r>
          </w:p>
        </w:tc>
      </w:tr>
      <w:tr w:rsidR="00C7711D" w:rsidRPr="00C7711D" w:rsidTr="00775A4B"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C7711D" w:rsidRDefault="00C7711D" w:rsidP="00C7711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7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C7711D" w:rsidRPr="00C7711D" w:rsidRDefault="00C7711D" w:rsidP="00533E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  <w:r w:rsidR="000710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7711D" w:rsidRPr="00C7711D" w:rsidTr="00775A4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1D" w:rsidRPr="00F64F7E" w:rsidRDefault="00F64F7E" w:rsidP="0017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64F7E">
              <w:rPr>
                <w:rFonts w:ascii="Times New Roman" w:eastAsiaTheme="majorEastAsia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Первичный прием пациента </w:t>
            </w:r>
            <w:r w:rsidRPr="00F64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положительным иммуноблотом ВИЧ или ПЦР ДНК ВИЧ</w:t>
            </w:r>
          </w:p>
        </w:tc>
      </w:tr>
    </w:tbl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8.5. Проведение консультаций врачей-специалистов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(осмотр, консультация)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врача-акушер-гинеколога,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(осмотр, консультация) </w:t>
      </w:r>
      <w:r w:rsidRPr="00D94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клиническим 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врача-дерматовенеролога, врача-невролога, врача-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врача-офтальмолога,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</w:t>
      </w:r>
      <w:r w:rsidR="00126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врачей-специалистов по показаниям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Порядок оформления медицинской документации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 МИС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 информированными согласиями: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9.1.1 проконтролировать наличие оформленных информированных согласий на обработку персональных данных и на медицинское вмешательство,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9.1.2. оформить информированное согласие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диспансерное наблюдение,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ТМК,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уведомления по электронной почте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Ввести данные приема пациента: жалобы, анамнез,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осмотр. Установить </w:t>
      </w:r>
      <w:r w:rsidRPr="00E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диагноз: В 34.9 Вирусная инфекция неуточненная.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5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лабораторные диагностические исследования, инструментальные исследования, консультации врачей-специалистов.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По результатам проведенной работы оформить запрос на ТМК к врачу-инфекционисту Центра СПИД, курирующему район. Список врачей-инфекционистов Центра СПИД, курирующих районы Удмуртской Республики прилагается. </w:t>
      </w:r>
    </w:p>
    <w:p w:rsidR="00162975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Врач-инфекционист Центра СПИД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975" w:rsidRPr="00365C8B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рамках ТМК, на основании полученных эпидемиологических, клинических данных, результатов лабораторных исследований, устанавливает диагноз ВИЧ-инфекции с указанием стадии и фазы заболевания,  определяет код по МКБ-10, дает рекомендации по дальнейшему ведению пациента, назначению антиретровирусной терапии,</w:t>
      </w:r>
    </w:p>
    <w:p w:rsidR="00162975" w:rsidRPr="00365C8B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оформляет экстренное извещение (форма №058/у),</w:t>
      </w:r>
    </w:p>
    <w:p w:rsidR="00162975" w:rsidRPr="00365C8B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6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вводит информацию о новом пациенте в </w:t>
      </w:r>
      <w:proofErr w:type="gramStart"/>
      <w:r w:rsidRPr="0036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</w:t>
      </w:r>
      <w:proofErr w:type="gramEnd"/>
      <w:r w:rsidRPr="0036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ВИЧ и  открывает карту диспансерного наблюдения за той медицинской организацией, от которой принял запрос на ТМК.</w:t>
      </w:r>
    </w:p>
    <w:p w:rsidR="00162975" w:rsidRPr="00365C8B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F64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КИЗе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данных ТМК открыть карту диспансерного наблюдения в Р</w:t>
      </w:r>
      <w:r w:rsidR="0049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МИС с установленным диагнозом, сформировать план наблюдения на год с учетом полученных рекомендаций врача-инфекциониста центра СПИД,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льготу «СПИД, ВИЧ-инфекция» (102 и 401) датой установления диагноза ВИЧ-инфекции.</w:t>
      </w:r>
    </w:p>
    <w:p w:rsidR="004966FD" w:rsidRDefault="004966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2975" w:rsidRPr="00365C8B" w:rsidRDefault="00162975" w:rsidP="00162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2167" w:rsidRPr="00D12167" w:rsidRDefault="00D12167" w:rsidP="00D12167">
      <w:pPr>
        <w:spacing w:after="160" w:line="259" w:lineRule="auto"/>
        <w:rPr>
          <w:rFonts w:ascii="Times New Roman" w:eastAsia="Calibri" w:hAnsi="Times New Roman" w:cs="Times New Roman"/>
          <w:b/>
          <w:szCs w:val="24"/>
        </w:rPr>
      </w:pPr>
      <w:r w:rsidRPr="00D12167">
        <w:rPr>
          <w:rFonts w:ascii="Times New Roman" w:eastAsia="Calibri" w:hAnsi="Times New Roman" w:cs="Times New Roman"/>
          <w:b/>
          <w:szCs w:val="24"/>
        </w:rPr>
        <w:t>ЛИСТ ОЗНАКОМЛЕНИЯ СОТРУДНИКОВ</w:t>
      </w:r>
    </w:p>
    <w:p w:rsidR="00D12167" w:rsidRPr="00D12167" w:rsidRDefault="00D12167" w:rsidP="00D12167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Cs w:val="24"/>
        </w:rPr>
      </w:pPr>
      <w:r w:rsidRPr="00D12167">
        <w:rPr>
          <w:rFonts w:ascii="Times New Roman" w:eastAsia="Calibri" w:hAnsi="Times New Roman" w:cs="Times New Roman"/>
          <w:b/>
          <w:szCs w:val="24"/>
        </w:rPr>
        <w:t>Со стандартной операционной процедурой «</w:t>
      </w:r>
      <w:r w:rsidR="00162975" w:rsidRPr="00F64F7E">
        <w:rPr>
          <w:rFonts w:ascii="Times New Roman" w:eastAsiaTheme="majorEastAsia" w:hAnsi="Times New Roman" w:cs="Times New Roman"/>
          <w:b/>
          <w:iCs/>
          <w:color w:val="333333"/>
          <w:sz w:val="24"/>
          <w:szCs w:val="24"/>
          <w:lang w:eastAsia="ru-RU"/>
        </w:rPr>
        <w:t xml:space="preserve">Первичный прием пациента </w:t>
      </w:r>
      <w:r w:rsidR="00162975" w:rsidRPr="00F64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положительным иммуноблотом ВИЧ или ПЦР ДНК ВИЧ</w:t>
      </w:r>
      <w:r w:rsidRPr="00D12167">
        <w:rPr>
          <w:rFonts w:ascii="Times New Roman" w:eastAsia="Calibri" w:hAnsi="Times New Roman" w:cs="Times New Roman"/>
          <w:b/>
          <w:szCs w:val="24"/>
        </w:rPr>
        <w:t>»  ознакомле</w:t>
      </w:r>
      <w:proofErr w:type="gramStart"/>
      <w:r w:rsidRPr="00D12167">
        <w:rPr>
          <w:rFonts w:ascii="Times New Roman" w:eastAsia="Calibri" w:hAnsi="Times New Roman" w:cs="Times New Roman"/>
          <w:b/>
          <w:szCs w:val="24"/>
        </w:rPr>
        <w:t>н(</w:t>
      </w:r>
      <w:proofErr w:type="gramEnd"/>
      <w:r w:rsidRPr="00D12167">
        <w:rPr>
          <w:rFonts w:ascii="Times New Roman" w:eastAsia="Calibri" w:hAnsi="Times New Roman" w:cs="Times New Roman"/>
          <w:b/>
          <w:szCs w:val="24"/>
        </w:rPr>
        <w:t>а):</w:t>
      </w:r>
    </w:p>
    <w:p w:rsidR="00C7711D" w:rsidRDefault="00C7711D" w:rsidP="00421185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819"/>
        <w:gridCol w:w="1843"/>
        <w:gridCol w:w="1808"/>
      </w:tblGrid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7711D" w:rsidRDefault="00C7711D" w:rsidP="00C7711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C7711D" w:rsidRDefault="00C7711D" w:rsidP="00C7711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08" w:type="dxa"/>
          </w:tcPr>
          <w:p w:rsidR="00C7711D" w:rsidRDefault="00C7711D" w:rsidP="00C7711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Дата</w:t>
            </w: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7711D" w:rsidTr="00C7711D">
        <w:tc>
          <w:tcPr>
            <w:tcW w:w="99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6ED" w:rsidRDefault="001356E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7711D" w:rsidRDefault="00C7711D" w:rsidP="0042118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8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C7711D" w:rsidRPr="003D2677" w:rsidRDefault="00C7711D" w:rsidP="0042118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 w:right="384" w:hanging="365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sectPr w:rsidR="00C7711D" w:rsidRPr="003D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BE" w:rsidRDefault="00A33BBE" w:rsidP="00926C06">
      <w:pPr>
        <w:spacing w:after="0" w:line="240" w:lineRule="auto"/>
      </w:pPr>
      <w:r>
        <w:separator/>
      </w:r>
    </w:p>
  </w:endnote>
  <w:endnote w:type="continuationSeparator" w:id="0">
    <w:p w:rsidR="00A33BBE" w:rsidRDefault="00A33BBE" w:rsidP="0092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BE" w:rsidRDefault="00A33BBE" w:rsidP="00926C06">
      <w:pPr>
        <w:spacing w:after="0" w:line="240" w:lineRule="auto"/>
      </w:pPr>
      <w:r>
        <w:separator/>
      </w:r>
    </w:p>
  </w:footnote>
  <w:footnote w:type="continuationSeparator" w:id="0">
    <w:p w:rsidR="00A33BBE" w:rsidRDefault="00A33BBE" w:rsidP="0092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D9"/>
    <w:multiLevelType w:val="multilevel"/>
    <w:tmpl w:val="3E687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1356032D"/>
    <w:multiLevelType w:val="singleLevel"/>
    <w:tmpl w:val="0EA086E0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1A2F369C"/>
    <w:multiLevelType w:val="multilevel"/>
    <w:tmpl w:val="8C2273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3">
    <w:nsid w:val="5AD4443A"/>
    <w:multiLevelType w:val="singleLevel"/>
    <w:tmpl w:val="77E63D3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7FCF0AB4"/>
    <w:multiLevelType w:val="hybridMultilevel"/>
    <w:tmpl w:val="7F8A6754"/>
    <w:lvl w:ilvl="0" w:tplc="CDB417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B8"/>
    <w:rsid w:val="00024E98"/>
    <w:rsid w:val="000352E0"/>
    <w:rsid w:val="000437D4"/>
    <w:rsid w:val="00063DF7"/>
    <w:rsid w:val="000640DD"/>
    <w:rsid w:val="00064592"/>
    <w:rsid w:val="00065E6C"/>
    <w:rsid w:val="00071038"/>
    <w:rsid w:val="00093206"/>
    <w:rsid w:val="00095A37"/>
    <w:rsid w:val="000A5FCF"/>
    <w:rsid w:val="000B4EB4"/>
    <w:rsid w:val="000B5CE0"/>
    <w:rsid w:val="000C626D"/>
    <w:rsid w:val="000D1BA3"/>
    <w:rsid w:val="000D6C6F"/>
    <w:rsid w:val="000E4F1A"/>
    <w:rsid w:val="000F18F0"/>
    <w:rsid w:val="000F740B"/>
    <w:rsid w:val="0010044F"/>
    <w:rsid w:val="00121245"/>
    <w:rsid w:val="00122813"/>
    <w:rsid w:val="00126932"/>
    <w:rsid w:val="00127726"/>
    <w:rsid w:val="001356ED"/>
    <w:rsid w:val="001530A6"/>
    <w:rsid w:val="00162975"/>
    <w:rsid w:val="00172F7E"/>
    <w:rsid w:val="001B11E2"/>
    <w:rsid w:val="001C03A6"/>
    <w:rsid w:val="001D1BC5"/>
    <w:rsid w:val="001D3A3A"/>
    <w:rsid w:val="001F1F6F"/>
    <w:rsid w:val="001F36C5"/>
    <w:rsid w:val="001F55B8"/>
    <w:rsid w:val="00265A53"/>
    <w:rsid w:val="002943C0"/>
    <w:rsid w:val="002A24D0"/>
    <w:rsid w:val="002B28E7"/>
    <w:rsid w:val="002B5946"/>
    <w:rsid w:val="002D2C7A"/>
    <w:rsid w:val="003049AE"/>
    <w:rsid w:val="00305E43"/>
    <w:rsid w:val="00306C47"/>
    <w:rsid w:val="00311E85"/>
    <w:rsid w:val="0032239A"/>
    <w:rsid w:val="00323044"/>
    <w:rsid w:val="00363BE8"/>
    <w:rsid w:val="003657D1"/>
    <w:rsid w:val="00365C8B"/>
    <w:rsid w:val="003B2C61"/>
    <w:rsid w:val="003B4984"/>
    <w:rsid w:val="003C13C3"/>
    <w:rsid w:val="003D2677"/>
    <w:rsid w:val="00406F64"/>
    <w:rsid w:val="00421185"/>
    <w:rsid w:val="00432A76"/>
    <w:rsid w:val="00475FB6"/>
    <w:rsid w:val="004966FD"/>
    <w:rsid w:val="004A7D1F"/>
    <w:rsid w:val="004B76BF"/>
    <w:rsid w:val="004C11FC"/>
    <w:rsid w:val="004C5517"/>
    <w:rsid w:val="004D1452"/>
    <w:rsid w:val="004E6144"/>
    <w:rsid w:val="00501A99"/>
    <w:rsid w:val="00511A7E"/>
    <w:rsid w:val="00511E3F"/>
    <w:rsid w:val="00533E3E"/>
    <w:rsid w:val="00553155"/>
    <w:rsid w:val="00554594"/>
    <w:rsid w:val="00567B53"/>
    <w:rsid w:val="00575D0D"/>
    <w:rsid w:val="005A103A"/>
    <w:rsid w:val="005C3D8E"/>
    <w:rsid w:val="005D36CC"/>
    <w:rsid w:val="005F43BB"/>
    <w:rsid w:val="00682274"/>
    <w:rsid w:val="00683541"/>
    <w:rsid w:val="00683A23"/>
    <w:rsid w:val="006B48F7"/>
    <w:rsid w:val="006C1A22"/>
    <w:rsid w:val="006C1CFC"/>
    <w:rsid w:val="006C3053"/>
    <w:rsid w:val="006C4E00"/>
    <w:rsid w:val="006C57C2"/>
    <w:rsid w:val="006F2B8C"/>
    <w:rsid w:val="0071155E"/>
    <w:rsid w:val="0073129F"/>
    <w:rsid w:val="00731BD6"/>
    <w:rsid w:val="0074506F"/>
    <w:rsid w:val="0074553C"/>
    <w:rsid w:val="00752821"/>
    <w:rsid w:val="00775A4B"/>
    <w:rsid w:val="00786787"/>
    <w:rsid w:val="00795B40"/>
    <w:rsid w:val="00797734"/>
    <w:rsid w:val="007A21D5"/>
    <w:rsid w:val="007A5D64"/>
    <w:rsid w:val="007B7302"/>
    <w:rsid w:val="007C0A05"/>
    <w:rsid w:val="007C2241"/>
    <w:rsid w:val="007D478A"/>
    <w:rsid w:val="007E5B11"/>
    <w:rsid w:val="00805939"/>
    <w:rsid w:val="008236CB"/>
    <w:rsid w:val="00824F8B"/>
    <w:rsid w:val="00831732"/>
    <w:rsid w:val="00865AA7"/>
    <w:rsid w:val="0087379F"/>
    <w:rsid w:val="00892043"/>
    <w:rsid w:val="00897090"/>
    <w:rsid w:val="008E536F"/>
    <w:rsid w:val="008E6582"/>
    <w:rsid w:val="008F2093"/>
    <w:rsid w:val="008F62F9"/>
    <w:rsid w:val="00903F8B"/>
    <w:rsid w:val="009040E9"/>
    <w:rsid w:val="0091177F"/>
    <w:rsid w:val="00926C06"/>
    <w:rsid w:val="00936A33"/>
    <w:rsid w:val="009404CA"/>
    <w:rsid w:val="00943306"/>
    <w:rsid w:val="0096196D"/>
    <w:rsid w:val="0098367B"/>
    <w:rsid w:val="0099114D"/>
    <w:rsid w:val="009B3501"/>
    <w:rsid w:val="009C099B"/>
    <w:rsid w:val="009C5321"/>
    <w:rsid w:val="009D23A8"/>
    <w:rsid w:val="00A06CFA"/>
    <w:rsid w:val="00A316A7"/>
    <w:rsid w:val="00A33BBE"/>
    <w:rsid w:val="00A42505"/>
    <w:rsid w:val="00A45047"/>
    <w:rsid w:val="00A55FEB"/>
    <w:rsid w:val="00A72AD8"/>
    <w:rsid w:val="00A96563"/>
    <w:rsid w:val="00A97FA0"/>
    <w:rsid w:val="00AE5803"/>
    <w:rsid w:val="00AF1173"/>
    <w:rsid w:val="00AF5C9E"/>
    <w:rsid w:val="00B01092"/>
    <w:rsid w:val="00B1249F"/>
    <w:rsid w:val="00B161C5"/>
    <w:rsid w:val="00B349FF"/>
    <w:rsid w:val="00B37E27"/>
    <w:rsid w:val="00B421E3"/>
    <w:rsid w:val="00B4456C"/>
    <w:rsid w:val="00B50353"/>
    <w:rsid w:val="00B62A18"/>
    <w:rsid w:val="00B66173"/>
    <w:rsid w:val="00B67152"/>
    <w:rsid w:val="00B71494"/>
    <w:rsid w:val="00B71E14"/>
    <w:rsid w:val="00B73C41"/>
    <w:rsid w:val="00B8666A"/>
    <w:rsid w:val="00BA6607"/>
    <w:rsid w:val="00BC4988"/>
    <w:rsid w:val="00C179FE"/>
    <w:rsid w:val="00C7711D"/>
    <w:rsid w:val="00C84CE8"/>
    <w:rsid w:val="00C92477"/>
    <w:rsid w:val="00CC0BCC"/>
    <w:rsid w:val="00CD00DA"/>
    <w:rsid w:val="00CD54D8"/>
    <w:rsid w:val="00CF505B"/>
    <w:rsid w:val="00CF50F5"/>
    <w:rsid w:val="00D035C4"/>
    <w:rsid w:val="00D12167"/>
    <w:rsid w:val="00D56F6A"/>
    <w:rsid w:val="00D572FC"/>
    <w:rsid w:val="00D713BD"/>
    <w:rsid w:val="00D945A3"/>
    <w:rsid w:val="00DB17C7"/>
    <w:rsid w:val="00DF4889"/>
    <w:rsid w:val="00E00406"/>
    <w:rsid w:val="00E1012F"/>
    <w:rsid w:val="00E11179"/>
    <w:rsid w:val="00E34C1C"/>
    <w:rsid w:val="00E40190"/>
    <w:rsid w:val="00E43146"/>
    <w:rsid w:val="00E85878"/>
    <w:rsid w:val="00E9061E"/>
    <w:rsid w:val="00E92342"/>
    <w:rsid w:val="00EA5F3F"/>
    <w:rsid w:val="00EC1C14"/>
    <w:rsid w:val="00EE65F4"/>
    <w:rsid w:val="00F055E1"/>
    <w:rsid w:val="00F114B6"/>
    <w:rsid w:val="00F13593"/>
    <w:rsid w:val="00F64F7E"/>
    <w:rsid w:val="00F745EE"/>
    <w:rsid w:val="00F85BB3"/>
    <w:rsid w:val="00F9112E"/>
    <w:rsid w:val="00F913A8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26C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6C06"/>
    <w:rPr>
      <w:sz w:val="20"/>
      <w:szCs w:val="20"/>
    </w:rPr>
  </w:style>
  <w:style w:type="character" w:styleId="a6">
    <w:name w:val="footnote reference"/>
    <w:semiHidden/>
    <w:rsid w:val="00926C06"/>
    <w:rPr>
      <w:vertAlign w:val="superscript"/>
    </w:rPr>
  </w:style>
  <w:style w:type="paragraph" w:customStyle="1" w:styleId="ConsPlusTitle">
    <w:name w:val="ConsPlusTitle"/>
    <w:rsid w:val="00CD00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DF48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B124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26C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6C06"/>
    <w:rPr>
      <w:sz w:val="20"/>
      <w:szCs w:val="20"/>
    </w:rPr>
  </w:style>
  <w:style w:type="character" w:styleId="a6">
    <w:name w:val="footnote reference"/>
    <w:semiHidden/>
    <w:rsid w:val="00926C06"/>
    <w:rPr>
      <w:vertAlign w:val="superscript"/>
    </w:rPr>
  </w:style>
  <w:style w:type="paragraph" w:customStyle="1" w:styleId="ConsPlusTitle">
    <w:name w:val="ConsPlusTitle"/>
    <w:rsid w:val="00CD00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DF48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B1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Shahina</cp:lastModifiedBy>
  <cp:revision>2</cp:revision>
  <cp:lastPrinted>2024-11-13T07:20:00Z</cp:lastPrinted>
  <dcterms:created xsi:type="dcterms:W3CDTF">2025-04-30T04:38:00Z</dcterms:created>
  <dcterms:modified xsi:type="dcterms:W3CDTF">2025-04-30T04:38:00Z</dcterms:modified>
</cp:coreProperties>
</file>